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600" w:firstRow="0" w:lastRow="0" w:firstColumn="0" w:lastColumn="0" w:noHBand="1" w:noVBand="1"/>
      </w:tblPr>
      <w:tblGrid>
        <w:gridCol w:w="4378"/>
        <w:gridCol w:w="4648"/>
      </w:tblGrid>
      <w:tr w:rsidR="00145302" w:rsidTr="00451FE1">
        <w:trPr>
          <w:trHeight w:val="1304"/>
        </w:trPr>
        <w:tc>
          <w:tcPr>
            <w:tcW w:w="4378" w:type="dxa"/>
            <w:tcBorders>
              <w:bottom w:val="single" w:sz="4" w:space="0" w:color="000000"/>
            </w:tcBorders>
          </w:tcPr>
          <w:p w:rsidR="00145302" w:rsidRDefault="0068091E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</w:p>
        </w:tc>
        <w:tc>
          <w:tcPr>
            <w:tcW w:w="4648" w:type="dxa"/>
            <w:tcBorders>
              <w:bottom w:val="single" w:sz="4" w:space="0" w:color="000000"/>
            </w:tcBorders>
          </w:tcPr>
          <w:p w:rsidR="00145302" w:rsidRDefault="0068091E">
            <w:pPr>
              <w:pStyle w:val="Informaesdecontato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190750" cy="802640"/>
                  <wp:effectExtent l="0" t="0" r="0" b="0"/>
                  <wp:docPr id="1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302" w:rsidRDefault="00145302">
            <w:pPr>
              <w:pStyle w:val="Informaesdecontato"/>
              <w:jc w:val="left"/>
              <w:rPr>
                <w:lang w:val="pt-BR"/>
              </w:rPr>
            </w:pPr>
          </w:p>
        </w:tc>
      </w:tr>
    </w:tbl>
    <w:p w:rsidR="00451FE1" w:rsidRPr="00451FE1" w:rsidRDefault="00451FE1" w:rsidP="00451FE1">
      <w:pPr>
        <w:spacing w:after="0"/>
        <w:jc w:val="both"/>
        <w:rPr>
          <w:sz w:val="28"/>
          <w:szCs w:val="28"/>
        </w:rPr>
      </w:pPr>
      <w:r w:rsidRPr="00451FE1">
        <w:rPr>
          <w:sz w:val="28"/>
          <w:szCs w:val="28"/>
        </w:rPr>
        <w:t xml:space="preserve">Ofício Sinlazer nº </w:t>
      </w:r>
      <w:r w:rsidRPr="00451FE1">
        <w:rPr>
          <w:sz w:val="28"/>
          <w:szCs w:val="28"/>
        </w:rPr>
        <w:t>008/2020</w:t>
      </w:r>
    </w:p>
    <w:p w:rsidR="00451FE1" w:rsidRPr="00451FE1" w:rsidRDefault="00451FE1" w:rsidP="00451FE1">
      <w:pPr>
        <w:spacing w:after="0"/>
        <w:jc w:val="both"/>
        <w:rPr>
          <w:sz w:val="28"/>
          <w:szCs w:val="28"/>
        </w:rPr>
      </w:pPr>
    </w:p>
    <w:p w:rsidR="00451FE1" w:rsidRPr="00451FE1" w:rsidRDefault="00451FE1" w:rsidP="00451FE1">
      <w:pPr>
        <w:spacing w:after="0"/>
        <w:jc w:val="right"/>
        <w:rPr>
          <w:sz w:val="28"/>
          <w:szCs w:val="28"/>
        </w:rPr>
      </w:pPr>
      <w:r w:rsidRPr="00451FE1">
        <w:rPr>
          <w:sz w:val="28"/>
          <w:szCs w:val="28"/>
        </w:rPr>
        <w:t>Brasília, 26 de junho de 2020.</w:t>
      </w:r>
    </w:p>
    <w:p w:rsidR="00451FE1" w:rsidRPr="00451FE1" w:rsidRDefault="00451FE1" w:rsidP="00451FE1">
      <w:pPr>
        <w:spacing w:after="0"/>
        <w:jc w:val="both"/>
        <w:rPr>
          <w:sz w:val="28"/>
          <w:szCs w:val="28"/>
        </w:rPr>
      </w:pPr>
    </w:p>
    <w:p w:rsidR="00451FE1" w:rsidRPr="00451FE1" w:rsidRDefault="00451FE1" w:rsidP="00451FE1">
      <w:pPr>
        <w:spacing w:after="0"/>
        <w:jc w:val="both"/>
        <w:rPr>
          <w:sz w:val="28"/>
          <w:szCs w:val="28"/>
        </w:rPr>
      </w:pPr>
    </w:p>
    <w:p w:rsidR="00451FE1" w:rsidRPr="00451FE1" w:rsidRDefault="00451FE1" w:rsidP="00451FE1">
      <w:pPr>
        <w:spacing w:after="0"/>
        <w:jc w:val="both"/>
        <w:rPr>
          <w:sz w:val="28"/>
          <w:szCs w:val="28"/>
        </w:rPr>
      </w:pPr>
      <w:r w:rsidRPr="00451FE1">
        <w:rPr>
          <w:sz w:val="28"/>
          <w:szCs w:val="28"/>
        </w:rPr>
        <w:t>Senhores(as) Presidentes e Comodoros,</w:t>
      </w:r>
    </w:p>
    <w:p w:rsidR="00451FE1" w:rsidRPr="00451FE1" w:rsidRDefault="00451FE1" w:rsidP="00451FE1">
      <w:pPr>
        <w:spacing w:after="0"/>
        <w:jc w:val="both"/>
        <w:rPr>
          <w:sz w:val="28"/>
          <w:szCs w:val="28"/>
        </w:rPr>
      </w:pPr>
    </w:p>
    <w:p w:rsidR="00451FE1" w:rsidRPr="00451FE1" w:rsidRDefault="00451FE1" w:rsidP="00451FE1">
      <w:pPr>
        <w:spacing w:after="0"/>
        <w:ind w:firstLine="708"/>
        <w:jc w:val="both"/>
        <w:rPr>
          <w:sz w:val="28"/>
          <w:szCs w:val="28"/>
        </w:rPr>
      </w:pPr>
      <w:r w:rsidRPr="00451FE1">
        <w:rPr>
          <w:sz w:val="28"/>
          <w:szCs w:val="28"/>
        </w:rPr>
        <w:t>Como já é sabido, no início da noite desta sexta-feira o Governador do Distrito Federal, Ibaneis Rocha, publicou o Decreto nº 40.923 que autoriza a reabertura dos clubes recreativos, mas com as restrições contidas no texto do citado diploma legal que segue em anexo.</w:t>
      </w:r>
    </w:p>
    <w:p w:rsidR="00451FE1" w:rsidRPr="00451FE1" w:rsidRDefault="00451FE1" w:rsidP="00451FE1">
      <w:pPr>
        <w:spacing w:after="0"/>
        <w:jc w:val="both"/>
        <w:rPr>
          <w:sz w:val="28"/>
          <w:szCs w:val="28"/>
        </w:rPr>
      </w:pPr>
    </w:p>
    <w:p w:rsidR="00451FE1" w:rsidRPr="00451FE1" w:rsidRDefault="00451FE1" w:rsidP="00451FE1">
      <w:pPr>
        <w:spacing w:after="0"/>
        <w:ind w:firstLine="708"/>
        <w:jc w:val="both"/>
        <w:rPr>
          <w:sz w:val="28"/>
          <w:szCs w:val="28"/>
        </w:rPr>
      </w:pPr>
      <w:r w:rsidRPr="00451FE1">
        <w:rPr>
          <w:sz w:val="28"/>
          <w:szCs w:val="28"/>
        </w:rPr>
        <w:t>Diante da medida, o Sinlazer/DF realizou uma reunião com os dirigentes dos clubes ainda na noite desta sexta-feira, que se estendeu até às 23h30m, na qual celebrou-se a medida e deliberou-se, em conjunto sobre os procedimentos para a reabertura, os quais registramos a seguir.</w:t>
      </w:r>
    </w:p>
    <w:p w:rsidR="00451FE1" w:rsidRPr="00451FE1" w:rsidRDefault="00451FE1" w:rsidP="00451FE1">
      <w:pPr>
        <w:spacing w:after="0"/>
        <w:jc w:val="both"/>
        <w:rPr>
          <w:sz w:val="28"/>
          <w:szCs w:val="28"/>
        </w:rPr>
      </w:pPr>
    </w:p>
    <w:p w:rsidR="00451FE1" w:rsidRPr="00451FE1" w:rsidRDefault="00451FE1" w:rsidP="00451FE1">
      <w:pPr>
        <w:spacing w:after="0"/>
        <w:ind w:firstLine="708"/>
        <w:jc w:val="both"/>
        <w:rPr>
          <w:sz w:val="28"/>
          <w:szCs w:val="28"/>
        </w:rPr>
      </w:pPr>
      <w:r w:rsidRPr="00451FE1">
        <w:rPr>
          <w:sz w:val="28"/>
          <w:szCs w:val="28"/>
        </w:rPr>
        <w:t xml:space="preserve">Como o Sinlazer/DF havia enviado ao governo uma sugestão de protocolo de reabertura gradual, o qual incluía um período para a preparação dos clubes, visando a segurança sanitária dos sócios, </w:t>
      </w:r>
      <w:r w:rsidRPr="00451FE1">
        <w:rPr>
          <w:sz w:val="28"/>
          <w:szCs w:val="28"/>
          <w:u w:val="single"/>
        </w:rPr>
        <w:t>conforme determina o art. 3º do decreto</w:t>
      </w:r>
      <w:r w:rsidR="00C63F3D">
        <w:rPr>
          <w:sz w:val="28"/>
          <w:szCs w:val="28"/>
          <w:u w:val="single"/>
        </w:rPr>
        <w:t xml:space="preserve"> hoje publicado</w:t>
      </w:r>
      <w:r w:rsidRPr="00451FE1">
        <w:rPr>
          <w:sz w:val="28"/>
          <w:szCs w:val="28"/>
        </w:rPr>
        <w:t xml:space="preserve">, os dirigentes clubistas deliberaram pela </w:t>
      </w:r>
      <w:r w:rsidRPr="00451FE1">
        <w:rPr>
          <w:sz w:val="28"/>
          <w:szCs w:val="28"/>
          <w:u w:val="single"/>
        </w:rPr>
        <w:t>reabertura conjunta dos clubes no próximo dia 4 de julho</w:t>
      </w:r>
      <w:r w:rsidRPr="00451FE1">
        <w:rPr>
          <w:sz w:val="28"/>
          <w:szCs w:val="28"/>
        </w:rPr>
        <w:t xml:space="preserve">, </w:t>
      </w:r>
      <w:r w:rsidR="0051004A">
        <w:rPr>
          <w:sz w:val="28"/>
          <w:szCs w:val="28"/>
        </w:rPr>
        <w:t xml:space="preserve">de modo a que todos estejam preparados igualmente, </w:t>
      </w:r>
      <w:r w:rsidRPr="00451FE1">
        <w:rPr>
          <w:sz w:val="28"/>
          <w:szCs w:val="28"/>
        </w:rPr>
        <w:t>fato que foi comunicado imediatamente e por escrito ao governador.</w:t>
      </w:r>
    </w:p>
    <w:p w:rsidR="00451FE1" w:rsidRPr="00451FE1" w:rsidRDefault="00451FE1" w:rsidP="00451FE1">
      <w:pPr>
        <w:spacing w:after="0"/>
        <w:jc w:val="both"/>
        <w:rPr>
          <w:sz w:val="28"/>
          <w:szCs w:val="28"/>
        </w:rPr>
      </w:pPr>
    </w:p>
    <w:p w:rsidR="00451FE1" w:rsidRPr="00451FE1" w:rsidRDefault="00451FE1" w:rsidP="00451FE1">
      <w:pPr>
        <w:spacing w:after="0"/>
        <w:ind w:firstLine="708"/>
        <w:jc w:val="both"/>
        <w:rPr>
          <w:sz w:val="28"/>
          <w:szCs w:val="28"/>
        </w:rPr>
      </w:pPr>
      <w:r w:rsidRPr="00451FE1">
        <w:rPr>
          <w:sz w:val="28"/>
          <w:szCs w:val="28"/>
        </w:rPr>
        <w:t xml:space="preserve">Tal deliberação </w:t>
      </w:r>
      <w:r w:rsidR="0051004A">
        <w:rPr>
          <w:sz w:val="28"/>
          <w:szCs w:val="28"/>
        </w:rPr>
        <w:t xml:space="preserve">considerou </w:t>
      </w:r>
      <w:r w:rsidRPr="00451FE1">
        <w:rPr>
          <w:sz w:val="28"/>
          <w:szCs w:val="28"/>
        </w:rPr>
        <w:t xml:space="preserve">a necessidade de alguns dias para finalização dos preparativos que já estavam em curso, </w:t>
      </w:r>
      <w:r w:rsidR="0051004A">
        <w:rPr>
          <w:sz w:val="28"/>
          <w:szCs w:val="28"/>
        </w:rPr>
        <w:t xml:space="preserve">levando em conta </w:t>
      </w:r>
      <w:r w:rsidRPr="00451FE1">
        <w:rPr>
          <w:sz w:val="28"/>
          <w:szCs w:val="28"/>
        </w:rPr>
        <w:t>também as diferenças de tamanho e de quantidade de sócios e funcionários dos diversos cl</w:t>
      </w:r>
      <w:r w:rsidR="0051004A">
        <w:rPr>
          <w:sz w:val="28"/>
          <w:szCs w:val="28"/>
        </w:rPr>
        <w:t xml:space="preserve">ubes, dentre outras </w:t>
      </w:r>
      <w:r w:rsidRPr="00451FE1">
        <w:rPr>
          <w:sz w:val="28"/>
          <w:szCs w:val="28"/>
        </w:rPr>
        <w:t>peculiaridades a cada um.</w:t>
      </w:r>
    </w:p>
    <w:p w:rsidR="00451FE1" w:rsidRPr="00451FE1" w:rsidRDefault="00451FE1" w:rsidP="00451FE1">
      <w:pPr>
        <w:spacing w:after="0"/>
        <w:jc w:val="both"/>
        <w:rPr>
          <w:sz w:val="28"/>
          <w:szCs w:val="28"/>
        </w:rPr>
      </w:pPr>
    </w:p>
    <w:p w:rsidR="00451FE1" w:rsidRPr="00451FE1" w:rsidRDefault="00451FE1" w:rsidP="00451FE1">
      <w:pPr>
        <w:spacing w:after="0"/>
        <w:ind w:firstLine="708"/>
        <w:jc w:val="both"/>
        <w:rPr>
          <w:sz w:val="28"/>
          <w:szCs w:val="28"/>
        </w:rPr>
      </w:pPr>
      <w:r w:rsidRPr="00451FE1">
        <w:rPr>
          <w:sz w:val="28"/>
          <w:szCs w:val="28"/>
        </w:rPr>
        <w:lastRenderedPageBreak/>
        <w:t>Mantendo-se a unidade de ação, evitou-se o descompasso na reabertura dos diversos clubes, o que levou à decisão de todos reabrirem conjuntamente no mesmo dia.</w:t>
      </w:r>
    </w:p>
    <w:p w:rsidR="00451FE1" w:rsidRPr="00451FE1" w:rsidRDefault="00451FE1" w:rsidP="00451FE1">
      <w:pPr>
        <w:spacing w:after="0"/>
        <w:jc w:val="both"/>
        <w:rPr>
          <w:sz w:val="28"/>
          <w:szCs w:val="28"/>
        </w:rPr>
      </w:pPr>
    </w:p>
    <w:p w:rsidR="00451FE1" w:rsidRPr="00451FE1" w:rsidRDefault="00451FE1" w:rsidP="00451FE1">
      <w:pPr>
        <w:spacing w:after="0"/>
        <w:ind w:firstLine="708"/>
        <w:jc w:val="both"/>
        <w:rPr>
          <w:sz w:val="28"/>
          <w:szCs w:val="28"/>
        </w:rPr>
      </w:pPr>
      <w:r w:rsidRPr="00451FE1">
        <w:rPr>
          <w:sz w:val="28"/>
          <w:szCs w:val="28"/>
        </w:rPr>
        <w:t xml:space="preserve">Assim sendo, pedimos aos senhores dirigentes que divulguem imediata e amplamente essa decisão colegiada aos sócios de seus clubes, </w:t>
      </w:r>
      <w:r w:rsidR="00D541FB">
        <w:rPr>
          <w:sz w:val="28"/>
          <w:szCs w:val="28"/>
        </w:rPr>
        <w:t xml:space="preserve">assim como </w:t>
      </w:r>
      <w:r w:rsidRPr="00451FE1">
        <w:rPr>
          <w:sz w:val="28"/>
          <w:szCs w:val="28"/>
        </w:rPr>
        <w:t>o texto do decreto</w:t>
      </w:r>
      <w:bookmarkStart w:id="0" w:name="_GoBack"/>
      <w:bookmarkEnd w:id="0"/>
      <w:r w:rsidRPr="00451FE1">
        <w:rPr>
          <w:sz w:val="28"/>
          <w:szCs w:val="28"/>
        </w:rPr>
        <w:t xml:space="preserve"> que segue </w:t>
      </w:r>
      <w:r w:rsidR="00F06931">
        <w:rPr>
          <w:sz w:val="28"/>
          <w:szCs w:val="28"/>
        </w:rPr>
        <w:t xml:space="preserve">em </w:t>
      </w:r>
      <w:r w:rsidRPr="00451FE1">
        <w:rPr>
          <w:sz w:val="28"/>
          <w:szCs w:val="28"/>
        </w:rPr>
        <w:t>anexo.</w:t>
      </w:r>
    </w:p>
    <w:p w:rsidR="00451FE1" w:rsidRPr="00451FE1" w:rsidRDefault="00451FE1" w:rsidP="00451FE1">
      <w:pPr>
        <w:spacing w:after="0"/>
        <w:jc w:val="both"/>
        <w:rPr>
          <w:sz w:val="28"/>
          <w:szCs w:val="28"/>
        </w:rPr>
      </w:pPr>
    </w:p>
    <w:p w:rsidR="00451FE1" w:rsidRPr="00451FE1" w:rsidRDefault="00451FE1" w:rsidP="00451FE1">
      <w:pPr>
        <w:spacing w:after="0"/>
        <w:ind w:firstLine="708"/>
        <w:jc w:val="both"/>
        <w:rPr>
          <w:sz w:val="28"/>
          <w:szCs w:val="28"/>
        </w:rPr>
      </w:pPr>
      <w:r w:rsidRPr="00451FE1">
        <w:rPr>
          <w:sz w:val="28"/>
          <w:szCs w:val="28"/>
        </w:rPr>
        <w:t xml:space="preserve">A partir do dia 4 de julho os clubes passarão a receber novamente seus sócios, de braços abertos, iniciando a retomada da normalidade da vida, com todos desfrutando de seus espaços de lazer, esporte e entretenimento, o que realiza também o desejo acalentado pelos clubes desde o início da pandemia, por cuja causa tanto trabalharam. </w:t>
      </w:r>
    </w:p>
    <w:p w:rsidR="00451FE1" w:rsidRPr="00451FE1" w:rsidRDefault="00451FE1" w:rsidP="00451FE1">
      <w:pPr>
        <w:spacing w:after="0"/>
        <w:jc w:val="both"/>
        <w:rPr>
          <w:sz w:val="28"/>
          <w:szCs w:val="28"/>
        </w:rPr>
      </w:pPr>
      <w:r w:rsidRPr="00451FE1">
        <w:rPr>
          <w:sz w:val="28"/>
          <w:szCs w:val="28"/>
        </w:rPr>
        <w:t xml:space="preserve"> </w:t>
      </w:r>
    </w:p>
    <w:p w:rsidR="00451FE1" w:rsidRPr="00451FE1" w:rsidRDefault="00451FE1" w:rsidP="00451FE1">
      <w:pPr>
        <w:spacing w:after="0"/>
        <w:jc w:val="center"/>
        <w:rPr>
          <w:sz w:val="28"/>
          <w:szCs w:val="28"/>
        </w:rPr>
      </w:pPr>
      <w:r w:rsidRPr="00451FE1">
        <w:rPr>
          <w:sz w:val="28"/>
          <w:szCs w:val="28"/>
        </w:rPr>
        <w:t>Cordialmente,</w:t>
      </w:r>
    </w:p>
    <w:p w:rsidR="00451FE1" w:rsidRDefault="00451FE1" w:rsidP="00451FE1">
      <w:pPr>
        <w:spacing w:after="0"/>
        <w:jc w:val="center"/>
        <w:rPr>
          <w:sz w:val="32"/>
          <w:szCs w:val="32"/>
        </w:rPr>
      </w:pPr>
    </w:p>
    <w:p w:rsidR="00451FE1" w:rsidRDefault="00451FE1" w:rsidP="00451FE1">
      <w:pPr>
        <w:spacing w:before="283" w:after="0" w:line="360" w:lineRule="auto"/>
        <w:ind w:left="283"/>
        <w:jc w:val="center"/>
      </w:pPr>
      <w:r>
        <w:rPr>
          <w:noProof/>
          <w:lang w:eastAsia="pt-BR"/>
        </w:rPr>
        <w:drawing>
          <wp:inline distT="0" distB="0" distL="0" distR="0" wp14:anchorId="2BBBAB84" wp14:editId="59AFB0E8">
            <wp:extent cx="777875" cy="826770"/>
            <wp:effectExtent l="0" t="0" r="0" b="0"/>
            <wp:docPr id="7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FE1" w:rsidRPr="00451FE1" w:rsidRDefault="00451FE1" w:rsidP="00451FE1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451FE1">
        <w:rPr>
          <w:b/>
          <w:sz w:val="28"/>
          <w:szCs w:val="28"/>
        </w:rPr>
        <w:t>Francisco Julho de Souza</w:t>
      </w:r>
    </w:p>
    <w:p w:rsidR="00451FE1" w:rsidRPr="00451FE1" w:rsidRDefault="00451FE1" w:rsidP="00451FE1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451FE1">
        <w:rPr>
          <w:b/>
          <w:sz w:val="28"/>
          <w:szCs w:val="28"/>
        </w:rPr>
        <w:t>Vice-Presidente do Sinlazer/DF</w:t>
      </w:r>
    </w:p>
    <w:p w:rsidR="00451FE1" w:rsidRPr="00451FE1" w:rsidRDefault="00451FE1" w:rsidP="00451FE1">
      <w:pPr>
        <w:spacing w:after="0"/>
        <w:jc w:val="center"/>
        <w:rPr>
          <w:sz w:val="28"/>
          <w:szCs w:val="28"/>
        </w:rPr>
      </w:pPr>
    </w:p>
    <w:p w:rsidR="00451FE1" w:rsidRPr="00451FE1" w:rsidRDefault="00451FE1" w:rsidP="00451FE1">
      <w:pPr>
        <w:spacing w:after="0"/>
        <w:jc w:val="center"/>
        <w:rPr>
          <w:sz w:val="28"/>
          <w:szCs w:val="28"/>
        </w:rPr>
      </w:pPr>
    </w:p>
    <w:p w:rsidR="00451FE1" w:rsidRPr="00451FE1" w:rsidRDefault="00451FE1" w:rsidP="00451FE1">
      <w:pPr>
        <w:spacing w:after="0"/>
        <w:jc w:val="center"/>
        <w:rPr>
          <w:b/>
          <w:sz w:val="28"/>
          <w:szCs w:val="28"/>
        </w:rPr>
      </w:pPr>
      <w:r w:rsidRPr="00451FE1">
        <w:rPr>
          <w:b/>
          <w:sz w:val="28"/>
          <w:szCs w:val="28"/>
        </w:rPr>
        <w:t>Luis Gonzaga da Silva Filho</w:t>
      </w:r>
    </w:p>
    <w:p w:rsidR="00451FE1" w:rsidRPr="00451FE1" w:rsidRDefault="00451FE1" w:rsidP="00451FE1">
      <w:pPr>
        <w:spacing w:after="0"/>
        <w:jc w:val="center"/>
        <w:rPr>
          <w:b/>
          <w:sz w:val="28"/>
          <w:szCs w:val="28"/>
        </w:rPr>
      </w:pPr>
      <w:r w:rsidRPr="00451FE1">
        <w:rPr>
          <w:b/>
          <w:sz w:val="28"/>
          <w:szCs w:val="28"/>
        </w:rPr>
        <w:t>Presidente do Comitê de Crise do Sinlazer/DF</w:t>
      </w:r>
    </w:p>
    <w:p w:rsidR="00451FE1" w:rsidRDefault="00451FE1" w:rsidP="00451FE1">
      <w:pPr>
        <w:spacing w:after="0"/>
        <w:jc w:val="both"/>
        <w:rPr>
          <w:sz w:val="32"/>
          <w:szCs w:val="32"/>
        </w:rPr>
      </w:pPr>
    </w:p>
    <w:p w:rsidR="00451FE1" w:rsidRDefault="00451FE1" w:rsidP="00451FE1">
      <w:pPr>
        <w:spacing w:after="0"/>
        <w:jc w:val="both"/>
        <w:rPr>
          <w:sz w:val="32"/>
          <w:szCs w:val="32"/>
        </w:rPr>
      </w:pPr>
    </w:p>
    <w:p w:rsidR="00451FE1" w:rsidRDefault="00451FE1" w:rsidP="00451FE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Anexo:</w:t>
      </w:r>
    </w:p>
    <w:p w:rsidR="00451FE1" w:rsidRPr="00110A3B" w:rsidRDefault="00451FE1" w:rsidP="00451FE1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Decreto nº 40.923, de 26 de junho de 2020</w:t>
      </w:r>
    </w:p>
    <w:p w:rsidR="00145302" w:rsidRDefault="00145302" w:rsidP="00451FE1">
      <w:pPr>
        <w:spacing w:before="480" w:after="480" w:line="240" w:lineRule="auto"/>
        <w:jc w:val="both"/>
        <w:rPr>
          <w:lang w:val="pt-BR"/>
        </w:rPr>
      </w:pPr>
    </w:p>
    <w:sectPr w:rsidR="00145302">
      <w:headerReference w:type="default" r:id="rId12"/>
      <w:footerReference w:type="default" r:id="rId13"/>
      <w:pgSz w:w="11906" w:h="16838"/>
      <w:pgMar w:top="777" w:right="1440" w:bottom="2520" w:left="1440" w:header="720" w:footer="86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25" w:rsidRDefault="005C1925">
      <w:pPr>
        <w:spacing w:after="0" w:line="240" w:lineRule="auto"/>
      </w:pPr>
      <w:r>
        <w:separator/>
      </w:r>
    </w:p>
  </w:endnote>
  <w:endnote w:type="continuationSeparator" w:id="0">
    <w:p w:rsidR="005C1925" w:rsidRDefault="005C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02" w:rsidRDefault="0068091E">
    <w:pPr>
      <w:pStyle w:val="Rodap"/>
      <w:spacing w:before="20" w:after="20"/>
      <w:ind w:left="0"/>
      <w:jc w:val="left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 xml:space="preserve">                             SCRN 714/715 bloco C entrada 22 sobreloja 20, Asa Norte - DF</w:t>
    </w:r>
  </w:p>
  <w:p w:rsidR="00145302" w:rsidRDefault="0068091E">
    <w:pPr>
      <w:pStyle w:val="Rodap"/>
      <w:spacing w:before="20" w:after="20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(61) 3272 3745  (61) 3447 6784 (61) 98625 8431</w:t>
    </w:r>
  </w:p>
  <w:p w:rsidR="00145302" w:rsidRDefault="0068091E">
    <w:pPr>
      <w:pStyle w:val="Rodap"/>
      <w:spacing w:before="20" w:after="20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 xml:space="preserve">E-mail: </w:t>
    </w:r>
    <w:hyperlink r:id="rId1">
      <w:r>
        <w:rPr>
          <w:rStyle w:val="LigaodeInternet"/>
          <w:color w:val="000000" w:themeColor="text1"/>
          <w:sz w:val="20"/>
          <w:szCs w:val="20"/>
          <w:u w:val="none"/>
        </w:rPr>
        <w:t>sinlazer@gmail.com</w:t>
      </w:r>
    </w:hyperlink>
  </w:p>
  <w:p w:rsidR="00145302" w:rsidRDefault="0068091E">
    <w:pPr>
      <w:pStyle w:val="Rodap"/>
      <w:spacing w:before="20" w:after="20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Site: www.sinlazer.com.br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25" w:rsidRDefault="005C1925">
      <w:pPr>
        <w:spacing w:after="0" w:line="240" w:lineRule="auto"/>
      </w:pPr>
      <w:r>
        <w:separator/>
      </w:r>
    </w:p>
  </w:footnote>
  <w:footnote w:type="continuationSeparator" w:id="0">
    <w:p w:rsidR="005C1925" w:rsidRDefault="005C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02" w:rsidRDefault="0068091E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4" behindDoc="1" locked="0" layoutInCell="1" allowOverlap="1" wp14:anchorId="435E3DA3">
              <wp:simplePos x="0" y="0"/>
              <wp:positionH relativeFrom="page">
                <wp:posOffset>8310245</wp:posOffset>
              </wp:positionH>
              <wp:positionV relativeFrom="page">
                <wp:posOffset>3817620</wp:posOffset>
              </wp:positionV>
              <wp:extent cx="10211435" cy="3436620"/>
              <wp:effectExtent l="0" t="0" r="1270" b="0"/>
              <wp:wrapNone/>
              <wp:docPr id="3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10680" cy="3435840"/>
                        <a:chOff x="0" y="0"/>
                        <a:chExt cx="0" cy="0"/>
                      </a:xfrm>
                    </wpg:grpSpPr>
                    <wps:wsp>
                      <wps:cNvPr id="4" name="Forma livre 4"/>
                      <wps:cNvSpPr/>
                      <wps:spPr>
                        <a:xfrm rot="10800000">
                          <a:off x="232560" y="0"/>
                          <a:ext cx="7779960" cy="2338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Forma livre 5"/>
                      <wps:cNvSpPr/>
                      <wps:spPr>
                        <a:xfrm rot="10800000">
                          <a:off x="0" y="363960"/>
                          <a:ext cx="7779960" cy="307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Forma livre 6"/>
                      <wps:cNvSpPr/>
                      <wps:spPr>
                        <a:xfrm rot="10800000">
                          <a:off x="2430720" y="1613520"/>
                          <a:ext cx="7779960" cy="106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180FA4" id="Grupo 12" o:spid="_x0000_s1026" style="position:absolute;margin-left:654.35pt;margin-top:300.6pt;width:804.05pt;height:270.6pt;z-index:-503316476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">
              <v:shape id="Forma livre 4" o:spid="_x0000_s1027" style="position:absolute;left:232560;width:7779960;height:2338560;rotation:180;visibility:visible;mso-wrap-style:square;v-text-anchor:top" coordsize="4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c4sMA&#10;AADaAAAADwAAAGRycy9kb3ducmV2LnhtbESP0WrCQBRE3wv+w3KFvulGsVJiVlEhYksfGvUDLtmb&#10;bDB7N2RXTfv13UKhj8PMnGGyzWBbcafeN44VzKYJCOLS6YZrBZdzPnkF4QOyxtYxKfgiD5v16CnD&#10;VLsHF3Q/hVpECPsUFZgQulRKXxqy6KeuI45e5XqLIcq+lrrHR4TbVs6TZCktNhwXDHa0N1ReTzer&#10;oJDVHHfvb58mfzleiiL/OHx3pVLP42G7AhFoCP/hv/ZRK1j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Kc4sMAAADaAAAADwAAAAAAAAAAAAAAAACYAgAAZHJzL2Rv&#10;d25yZXYueG1sUEsFBgAAAAAEAAQA9QAAAIgDAAAAAA==&#10;" path="m,260c,,,,,,455,,455,,455,,14,,,260,,260xe" fillcolor="#4b1919 [3204]" stroked="f">
                <v:path arrowok="t"/>
              </v:shape>
              <v:shape id="Forma livre 5" o:spid="_x0000_s1028" style="position:absolute;top:363960;width:7779960;height:3072240;rotation:180;visibility:visible;mso-wrap-style:square;v-text-anchor:top" coordsize="4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qJMQA&#10;AADaAAAADwAAAGRycy9kb3ducmV2LnhtbESPQWvCQBSE74L/YXmCN92kVJNG12CrBY9tag/eHtnX&#10;JDX7NmRXTf99tyD0OMzMN8w6H0wrrtS7xrKCeB6BIC6tbrhScPx4naUgnEfW2FomBT/kIN+MR2vM&#10;tL3xO10LX4kAYZehgtr7LpPSlTUZdHPbEQfvy/YGfZB9JXWPtwA3rXyIoqU02HBYqLGjl5rKc3Ex&#10;Cro4OS3T793j5zMmlyeT7JPq7ajUdDJsVyA8Df4/fG8ftIIF/F0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6iTEAAAA2gAAAA8AAAAAAAAAAAAAAAAAmAIAAGRycy9k&#10;b3ducmV2LnhtbFBLBQYAAAAABAAEAPUAAACJAwAAAAA=&#10;" path="m,260v,-5,,-5,,-5c,114,114,,255,,455,,455,,455,,14,,,260,,260xe" fillcolor="#ffd966 [3205]" stroked="f">
                <v:path arrowok="t"/>
              </v:shape>
              <v:shape id="Forma livre 6" o:spid="_x0000_s1029" style="position:absolute;left:2430720;top:1613520;width:7779960;height:1068120;rotation:180;visibility:visible;mso-wrap-style:square;v-text-anchor:top" coordsize="7779656,1364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v7r0A&#10;AADaAAAADwAAAGRycy9kb3ducmV2LnhtbESPwQrCMBBE74L/EFbwpqkKotUoWhG8qgWvS7O21WZT&#10;mqj1740geBxm5g2zXLemEk9qXGlZwWgYgSDOrC45V5Ce94MZCOeRNVaWScGbHKxX3c4SY21ffKTn&#10;yeciQNjFqKDwvo6ldFlBBt3Q1sTBu9rGoA+yyaVu8BXgppLjKJpKgyWHhQJrSgrK7qeHUTA+mq2b&#10;jPQuTS7zx53mtyyZ7JTq99rNAoSn1v/Dv/ZBK5jC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cv7r0AAADaAAAADwAAAAAAAAAAAAAAAACYAgAAZHJzL2Rvd25yZXYu&#10;eG1sUEsFBgAAAAAEAAQA9QAAAIIDAAAAAA==&#10;" path="m7779656,1364203l,,7779656,r,1364203xe" fillcolor="#85cdc1 [3206]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02"/>
    <w:rsid w:val="00145302"/>
    <w:rsid w:val="00360BF2"/>
    <w:rsid w:val="00451FE1"/>
    <w:rsid w:val="0051004A"/>
    <w:rsid w:val="00555C81"/>
    <w:rsid w:val="005C1925"/>
    <w:rsid w:val="0060759F"/>
    <w:rsid w:val="0068091E"/>
    <w:rsid w:val="00C63F3D"/>
    <w:rsid w:val="00D541FB"/>
    <w:rsid w:val="00F0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05D27-2C0D-46EA-B509-427AFB89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2" w:themeShade="BF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D2"/>
    <w:pPr>
      <w:spacing w:after="300" w:line="276" w:lineRule="auto"/>
    </w:pPr>
    <w:rPr>
      <w:rFonts w:ascii="Arial" w:eastAsia="SimHei" w:hAnsi="Arial" w:cs="Arial"/>
      <w:color w:val="auto"/>
      <w:sz w:val="22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B73FD2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B73FD2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qFormat/>
    <w:rsid w:val="00B73FD2"/>
    <w:rPr>
      <w:rFonts w:ascii="Arial" w:hAnsi="Arial" w:cs="Arial"/>
      <w:color w:val="BFBFBF" w:themeColor="accent5" w:themeShade="BF"/>
      <w:sz w:val="22"/>
    </w:rPr>
  </w:style>
  <w:style w:type="character" w:customStyle="1" w:styleId="DataChar">
    <w:name w:val="Data Char"/>
    <w:basedOn w:val="Fontepargpadro"/>
    <w:link w:val="Data"/>
    <w:uiPriority w:val="4"/>
    <w:qFormat/>
    <w:rsid w:val="00B73FD2"/>
    <w:rPr>
      <w:rFonts w:ascii="Arial" w:hAnsi="Arial" w:cs="Arial"/>
      <w:color w:val="auto"/>
    </w:rPr>
  </w:style>
  <w:style w:type="character" w:customStyle="1" w:styleId="EncerramentoChar">
    <w:name w:val="Encerramento Char"/>
    <w:basedOn w:val="Fontepargpadro"/>
    <w:link w:val="Encerramento"/>
    <w:uiPriority w:val="6"/>
    <w:qFormat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qFormat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73FD2"/>
    <w:rPr>
      <w:rFonts w:ascii="Segoe UI" w:hAnsi="Segoe UI" w:cs="Segoe UI"/>
      <w:color w:val="auto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B73FD2"/>
    <w:rPr>
      <w:rFonts w:ascii="Arial" w:hAnsi="Arial" w:cs="Arial"/>
      <w:color w:val="auto"/>
      <w:szCs w:val="16"/>
    </w:rPr>
  </w:style>
  <w:style w:type="character" w:customStyle="1" w:styleId="PrimeirorecuodecorpodetextoChar">
    <w:name w:val="Primeiro recuo de corpo de texto Char"/>
    <w:basedOn w:val="CorpodetextoChar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73FD2"/>
    <w:rPr>
      <w:rFonts w:ascii="Arial" w:hAnsi="Arial" w:cs="Arial"/>
      <w:sz w:val="22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73FD2"/>
    <w:rPr>
      <w:rFonts w:ascii="Arial" w:hAnsi="Arial" w:cs="Arial"/>
      <w:b/>
      <w:bCs/>
      <w:color w:val="auto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B73FD2"/>
    <w:rPr>
      <w:rFonts w:ascii="Segoe UI" w:hAnsi="Segoe UI" w:cs="Segoe UI"/>
      <w:color w:val="auto"/>
      <w:szCs w:val="16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qFormat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customStyle="1" w:styleId="ncoradanotafinal">
    <w:name w:val="Âncora da nota final"/>
    <w:rPr>
      <w:rFonts w:ascii="Arial" w:hAnsi="Arial" w:cs="Arial"/>
      <w:sz w:val="22"/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B73FD2"/>
    <w:rPr>
      <w:rFonts w:ascii="Arial" w:hAnsi="Arial" w:cs="Arial"/>
      <w:sz w:val="22"/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LigaodeInternetvisitada">
    <w:name w:val="Ligação de Internet visitada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customStyle="1" w:styleId="ncoradanotaderodap">
    <w:name w:val="Âncora da nota de rodapé"/>
    <w:rPr>
      <w:rFonts w:ascii="Arial" w:hAnsi="Arial" w:cs="Arial"/>
      <w:sz w:val="22"/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B73FD2"/>
    <w:rPr>
      <w:rFonts w:ascii="Arial" w:hAnsi="Arial" w:cs="Arial"/>
      <w:sz w:val="22"/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qFormat/>
    <w:rsid w:val="00B73FD2"/>
    <w:rPr>
      <w:rFonts w:ascii="Arial" w:hAnsi="Arial" w:cs="Arial"/>
      <w:sz w:val="22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qFormat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qFormat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qFormat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qFormat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qFormat/>
    <w:rsid w:val="00B73FD2"/>
    <w:rPr>
      <w:rFonts w:ascii="Consolas" w:hAnsi="Consolas" w:cs="Arial"/>
      <w:sz w:val="22"/>
      <w:szCs w:val="20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qFormat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qFormat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qFormat/>
    <w:rsid w:val="00B73FD2"/>
    <w:rPr>
      <w:rFonts w:ascii="Arial" w:hAnsi="Arial" w:cs="Arial"/>
      <w:i/>
      <w:iCs/>
      <w:sz w:val="22"/>
    </w:rPr>
  </w:style>
  <w:style w:type="character" w:customStyle="1" w:styleId="LigaodeInternet">
    <w:name w:val="Ligação de Internet"/>
    <w:basedOn w:val="Fontepargpadro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qFormat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smallCaps/>
      <w:color w:val="381212" w:themeColor="accent1" w:themeShade="BF"/>
      <w:spacing w:val="5"/>
      <w:sz w:val="22"/>
    </w:rPr>
  </w:style>
  <w:style w:type="character" w:styleId="Nmerodelinha">
    <w:name w:val="line number"/>
    <w:basedOn w:val="Fontepargpadro"/>
    <w:uiPriority w:val="99"/>
    <w:semiHidden/>
    <w:unhideWhenUsed/>
    <w:qFormat/>
    <w:rsid w:val="00B73FD2"/>
    <w:rPr>
      <w:rFonts w:ascii="Arial" w:hAnsi="Arial" w:cs="Arial"/>
      <w:sz w:val="22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qFormat/>
    <w:rsid w:val="00B73FD2"/>
    <w:rPr>
      <w:rFonts w:ascii="Consolas" w:hAnsi="Consolas" w:cs="Arial"/>
      <w:kern w:val="2"/>
      <w14:ligatures w14:val="standardContextual"/>
      <w14:numForm w14:val="oldStyle"/>
      <w14:numSpacing w14:val="proportional"/>
      <w14:cntxtAlts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qFormat/>
    <w:rsid w:val="00B73FD2"/>
    <w:rPr>
      <w:rFonts w:ascii="Arial" w:eastAsiaTheme="majorEastAsia" w:hAnsi="Arial" w:cs="Arial"/>
      <w:color w:val="000000"/>
      <w:sz w:val="24"/>
      <w:szCs w:val="24"/>
      <w:shd w:val="clear" w:color="auto" w:fill="CCCCCC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qFormat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qFormat/>
    <w:rsid w:val="00B73FD2"/>
    <w:rPr>
      <w:rFonts w:ascii="Arial" w:hAnsi="Arial" w:cs="Arial"/>
      <w:sz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B73FD2"/>
    <w:rPr>
      <w:rFonts w:ascii="Consolas" w:hAnsi="Consolas" w:cs="Arial"/>
      <w:color w:val="auto"/>
      <w:szCs w:val="21"/>
    </w:rPr>
  </w:style>
  <w:style w:type="character" w:customStyle="1" w:styleId="CitaoChar">
    <w:name w:val="Citação Char"/>
    <w:basedOn w:val="Fontepargpadro"/>
    <w:link w:val="Citao"/>
    <w:uiPriority w:val="29"/>
    <w:semiHidden/>
    <w:qFormat/>
    <w:rsid w:val="00B73FD2"/>
    <w:rPr>
      <w:rFonts w:ascii="Arial" w:hAnsi="Arial" w:cs="Arial"/>
      <w:i/>
      <w:iCs/>
      <w:color w:val="404040" w:themeColor="text1" w:themeTint="BF"/>
    </w:rPr>
  </w:style>
  <w:style w:type="character" w:customStyle="1" w:styleId="SaudaoChar">
    <w:name w:val="Saudação Char"/>
    <w:basedOn w:val="Fontepargpadro"/>
    <w:link w:val="Saudao"/>
    <w:uiPriority w:val="5"/>
    <w:qFormat/>
    <w:rsid w:val="00B73FD2"/>
    <w:rPr>
      <w:rFonts w:ascii="Arial" w:hAnsi="Arial" w:cs="Arial"/>
      <w:color w:val="auto"/>
    </w:rPr>
  </w:style>
  <w:style w:type="character" w:customStyle="1" w:styleId="AssinaturaChar">
    <w:name w:val="Assinatura Char"/>
    <w:basedOn w:val="Fontepargpadro"/>
    <w:link w:val="Assinatura"/>
    <w:uiPriority w:val="7"/>
    <w:qFormat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qFormat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character" w:customStyle="1" w:styleId="TtuloChar">
    <w:name w:val="Título Char"/>
    <w:basedOn w:val="Fontepargpadro"/>
    <w:link w:val="Ttulo"/>
    <w:uiPriority w:val="10"/>
    <w:semiHidden/>
    <w:qFormat/>
    <w:rsid w:val="00B73FD2"/>
    <w:rPr>
      <w:rFonts w:ascii="Arial" w:eastAsiaTheme="majorEastAsia" w:hAnsi="Arial" w:cs="Arial"/>
      <w:color w:val="auto"/>
      <w:spacing w:val="-10"/>
      <w:kern w:val="2"/>
      <w:sz w:val="56"/>
      <w:szCs w:val="56"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B73FD2"/>
    <w:rPr>
      <w:rFonts w:ascii="Arial" w:hAnsi="Arial" w:cs="Arial"/>
      <w:color w:val="2B579A"/>
      <w:shd w:val="clear" w:color="auto" w:fill="E1DFDD"/>
    </w:rPr>
  </w:style>
  <w:style w:type="character" w:customStyle="1" w:styleId="Hashtag">
    <w:name w:val="Hashtag"/>
    <w:basedOn w:val="Fontepargpadro"/>
    <w:uiPriority w:val="99"/>
    <w:semiHidden/>
    <w:unhideWhenUsed/>
    <w:qFormat/>
    <w:rsid w:val="00B73FD2"/>
    <w:rPr>
      <w:rFonts w:ascii="Arial" w:hAnsi="Arial" w:cs="Arial"/>
      <w:color w:val="2B579A"/>
      <w:shd w:val="clear" w:color="auto" w:fill="E1DFDD"/>
    </w:rPr>
  </w:style>
  <w:style w:type="character" w:customStyle="1" w:styleId="SmartHyperlink">
    <w:name w:val="Smart Hyperlink"/>
    <w:basedOn w:val="Fontepargpadro"/>
    <w:uiPriority w:val="99"/>
    <w:semiHidden/>
    <w:unhideWhenUsed/>
    <w:qFormat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B73FD2"/>
    <w:rPr>
      <w:rFonts w:ascii="Arial" w:hAnsi="Arial" w:cs="Arial"/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0"/>
    <w:semiHidden/>
    <w:qFormat/>
    <w:rsid w:val="00B73FD2"/>
    <w:pPr>
      <w:spacing w:after="0" w:line="240" w:lineRule="auto"/>
      <w:contextualSpacing/>
    </w:pPr>
    <w:rPr>
      <w:rFonts w:eastAsiaTheme="majorEastAsia"/>
      <w:spacing w:val="-10"/>
      <w:kern w:val="2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</w:style>
  <w:style w:type="paragraph" w:styleId="Lista">
    <w:name w:val="List"/>
    <w:basedOn w:val="Normal"/>
    <w:uiPriority w:val="99"/>
    <w:semiHidden/>
    <w:unhideWhenUsed/>
    <w:rsid w:val="00B73FD2"/>
    <w:pPr>
      <w:ind w:left="360" w:hanging="36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after="200" w:line="240" w:lineRule="auto"/>
    </w:pPr>
    <w:rPr>
      <w:i/>
      <w:iCs/>
      <w:color w:val="000000" w:themeColor="text2"/>
      <w:szCs w:val="1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B73FD2"/>
    <w:pPr>
      <w:spacing w:after="0" w:line="240" w:lineRule="auto"/>
    </w:pPr>
  </w:style>
  <w:style w:type="paragraph" w:styleId="Rodap">
    <w:name w:val="footer"/>
    <w:basedOn w:val="Normal"/>
    <w:link w:val="RodapChar"/>
    <w:rsid w:val="00B73FD2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73FD2"/>
    <w:pPr>
      <w:spacing w:after="0" w:line="240" w:lineRule="auto"/>
    </w:pPr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qFormat/>
    <w:rsid w:val="00B73FD2"/>
  </w:style>
  <w:style w:type="paragraph" w:styleId="Textoembloco">
    <w:name w:val="Block Text"/>
    <w:basedOn w:val="Normal"/>
    <w:uiPriority w:val="99"/>
    <w:semiHidden/>
    <w:unhideWhenUsed/>
    <w:qFormat/>
    <w:rsid w:val="00B73FD2"/>
    <w:pPr>
      <w:pBdr>
        <w:top w:val="single" w:sz="2" w:space="10" w:color="4B1919"/>
        <w:left w:val="single" w:sz="2" w:space="10" w:color="4B1919"/>
        <w:bottom w:val="single" w:sz="2" w:space="10" w:color="4B1919"/>
        <w:right w:val="single" w:sz="2" w:space="10" w:color="4B1919"/>
      </w:pBdr>
      <w:ind w:left="1152" w:right="1152"/>
    </w:pPr>
    <w:rPr>
      <w:i/>
      <w:iCs/>
      <w:color w:val="381212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B73FD2"/>
    <w:pPr>
      <w:spacing w:after="120" w:line="48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B73FD2"/>
    <w:pPr>
      <w:spacing w:after="120"/>
    </w:pPr>
    <w:rPr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qFormat/>
    <w:rsid w:val="00B73FD2"/>
    <w:pPr>
      <w:spacing w:after="300"/>
      <w:ind w:firstLine="360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B73FD2"/>
    <w:pPr>
      <w:spacing w:after="120" w:line="480" w:lineRule="auto"/>
      <w:ind w:left="360"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B73FD2"/>
    <w:pPr>
      <w:spacing w:after="120"/>
      <w:ind w:left="360"/>
    </w:pPr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73FD2"/>
    <w:pPr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73FD2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B73FD2"/>
    <w:pPr>
      <w:spacing w:after="0" w:line="240" w:lineRule="auto"/>
    </w:pPr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qFormat/>
    <w:rsid w:val="00B73FD2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</w:style>
  <w:style w:type="paragraph" w:styleId="Destinatrio">
    <w:name w:val="envelope address"/>
    <w:basedOn w:val="Normal"/>
    <w:uiPriority w:val="99"/>
    <w:semiHidden/>
    <w:unhideWhenUsed/>
    <w:qFormat/>
    <w:rsid w:val="00B73FD2"/>
    <w:pPr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qFormat/>
    <w:rsid w:val="00B73FD2"/>
    <w:pPr>
      <w:spacing w:after="0" w:line="240" w:lineRule="auto"/>
    </w:pPr>
    <w:rPr>
      <w:rFonts w:eastAsiaTheme="maj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</w:style>
  <w:style w:type="paragraph" w:styleId="EndereoHTML">
    <w:name w:val="HTML Address"/>
    <w:basedOn w:val="Normal"/>
    <w:link w:val="EndereoHTMLChar"/>
    <w:uiPriority w:val="99"/>
    <w:semiHidden/>
    <w:unhideWhenUsed/>
    <w:qFormat/>
    <w:rsid w:val="00B73FD2"/>
    <w:pPr>
      <w:spacing w:after="0" w:line="240" w:lineRule="auto"/>
    </w:pPr>
    <w:rPr>
      <w:i/>
      <w:iCs/>
    </w:rPr>
  </w:style>
  <w:style w:type="paragraph" w:styleId="Pr-formataoHTML">
    <w:name w:val="HTML Preformatted"/>
    <w:basedOn w:val="Normal"/>
    <w:uiPriority w:val="99"/>
    <w:semiHidden/>
    <w:unhideWhenUsed/>
    <w:qFormat/>
    <w:rsid w:val="00B73FD2"/>
    <w:pPr>
      <w:spacing w:after="0" w:line="240" w:lineRule="auto"/>
    </w:pPr>
    <w:rPr>
      <w:rFonts w:ascii="Consolas" w:hAnsi="Consola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qFormat/>
    <w:rsid w:val="00B73FD2"/>
    <w:rPr>
      <w:rFonts w:eastAsiaTheme="majorEastAsia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/>
        <w:bottom w:val="single" w:sz="4" w:space="10" w:color="4B1919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paragraph" w:styleId="Commarcadores3">
    <w:name w:val="List Bullet 3"/>
    <w:basedOn w:val="Normal"/>
    <w:uiPriority w:val="99"/>
    <w:semiHidden/>
    <w:unhideWhenUsed/>
    <w:qFormat/>
    <w:rsid w:val="00B73FD2"/>
    <w:pPr>
      <w:contextualSpacing/>
    </w:pPr>
  </w:style>
  <w:style w:type="paragraph" w:styleId="Commarcadores4">
    <w:name w:val="List Bullet 4"/>
    <w:basedOn w:val="Normal"/>
    <w:uiPriority w:val="99"/>
    <w:semiHidden/>
    <w:unhideWhenUsed/>
    <w:qFormat/>
    <w:rsid w:val="00B73FD2"/>
    <w:pPr>
      <w:contextualSpacing/>
    </w:pPr>
  </w:style>
  <w:style w:type="paragraph" w:styleId="Commarcadores5">
    <w:name w:val="List Bullet 5"/>
    <w:basedOn w:val="Normal"/>
    <w:uiPriority w:val="99"/>
    <w:semiHidden/>
    <w:unhideWhenUsed/>
    <w:qFormat/>
    <w:rsid w:val="00B73FD2"/>
    <w:pPr>
      <w:contextualSpacing/>
    </w:pPr>
  </w:style>
  <w:style w:type="paragraph" w:styleId="Numerada">
    <w:name w:val="List Number"/>
    <w:basedOn w:val="Normal"/>
    <w:uiPriority w:val="99"/>
    <w:semiHidden/>
    <w:unhideWhenUsed/>
    <w:qFormat/>
    <w:rsid w:val="00B73FD2"/>
    <w:pPr>
      <w:contextualSpacing/>
    </w:pPr>
  </w:style>
  <w:style w:type="paragraph" w:styleId="Commarcadores">
    <w:name w:val="List Bullet"/>
    <w:basedOn w:val="Normal"/>
    <w:uiPriority w:val="99"/>
    <w:semiHidden/>
    <w:unhideWhenUsed/>
    <w:qFormat/>
    <w:rsid w:val="00B73FD2"/>
    <w:pPr>
      <w:contextualSpacing/>
    </w:pPr>
  </w:style>
  <w:style w:type="paragraph" w:styleId="Commarcadores2">
    <w:name w:val="List Bullet 2"/>
    <w:basedOn w:val="Normal"/>
    <w:uiPriority w:val="99"/>
    <w:semiHidden/>
    <w:unhideWhenUsed/>
    <w:qFormat/>
    <w:rsid w:val="00B73FD2"/>
    <w:pPr>
      <w:contextualSpacing/>
    </w:pPr>
  </w:style>
  <w:style w:type="paragraph" w:styleId="Listadecontinuao">
    <w:name w:val="List Continue"/>
    <w:basedOn w:val="Normal"/>
    <w:uiPriority w:val="99"/>
    <w:semiHidden/>
    <w:unhideWhenUsed/>
    <w:qFormat/>
    <w:rsid w:val="00B73FD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qFormat/>
    <w:rsid w:val="00B73FD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qFormat/>
    <w:rsid w:val="00B73FD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qFormat/>
    <w:rsid w:val="00B73FD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qFormat/>
    <w:rsid w:val="00B73FD2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qFormat/>
    <w:rsid w:val="00B73FD2"/>
    <w:pPr>
      <w:contextualSpacing/>
    </w:pPr>
  </w:style>
  <w:style w:type="paragraph" w:styleId="Numerada3">
    <w:name w:val="List Number 3"/>
    <w:basedOn w:val="Normal"/>
    <w:uiPriority w:val="99"/>
    <w:semiHidden/>
    <w:unhideWhenUsed/>
    <w:qFormat/>
    <w:rsid w:val="00B73FD2"/>
    <w:pPr>
      <w:contextualSpacing/>
    </w:pPr>
  </w:style>
  <w:style w:type="paragraph" w:styleId="Numerada4">
    <w:name w:val="List Number 4"/>
    <w:basedOn w:val="Normal"/>
    <w:uiPriority w:val="99"/>
    <w:semiHidden/>
    <w:unhideWhenUsed/>
    <w:qFormat/>
    <w:rsid w:val="00B73FD2"/>
    <w:pPr>
      <w:contextualSpacing/>
    </w:pPr>
  </w:style>
  <w:style w:type="paragraph" w:styleId="Numerada5">
    <w:name w:val="List Number 5"/>
    <w:basedOn w:val="Normal"/>
    <w:uiPriority w:val="99"/>
    <w:semiHidden/>
    <w:unhideWhenUsed/>
    <w:qFormat/>
    <w:rsid w:val="00B73FD2"/>
    <w:pPr>
      <w:contextualSpacing/>
    </w:pPr>
  </w:style>
  <w:style w:type="paragraph" w:styleId="PargrafodaLista">
    <w:name w:val="List Paragraph"/>
    <w:basedOn w:val="Normal"/>
    <w:uiPriority w:val="34"/>
    <w:semiHidden/>
    <w:qFormat/>
    <w:rsid w:val="00B73FD2"/>
    <w:pPr>
      <w:ind w:left="720"/>
      <w:contextualSpacing/>
    </w:pPr>
  </w:style>
  <w:style w:type="paragraph" w:styleId="Textodemacro">
    <w:name w:val="macro"/>
    <w:link w:val="TextodemacroChar"/>
    <w:uiPriority w:val="99"/>
    <w:semiHidden/>
    <w:unhideWhenUsed/>
    <w:qFormat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SimHei" w:hAnsi="Consolas" w:cs="Arial"/>
      <w:color w:val="000000"/>
      <w:kern w:val="2"/>
      <w:sz w:val="22"/>
      <w14:ligatures w14:val="standardContextual"/>
      <w14:numForm w14:val="oldStyle"/>
      <w14:numSpacing w14:val="proportional"/>
      <w14:cntxtAlts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B73FD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paragraph" w:styleId="SemEspaamento">
    <w:name w:val="No Spacing"/>
    <w:uiPriority w:val="1"/>
    <w:semiHidden/>
    <w:unhideWhenUsed/>
    <w:qFormat/>
    <w:rsid w:val="00B73FD2"/>
    <w:rPr>
      <w:rFonts w:ascii="Arial" w:eastAsia="SimHei" w:hAnsi="Arial" w:cs="Arial"/>
      <w:color w:val="000000"/>
      <w:kern w:val="2"/>
      <w:sz w:val="22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qFormat/>
    <w:rsid w:val="00B73FD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qFormat/>
    <w:rsid w:val="00B73FD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qFormat/>
    <w:rsid w:val="00B73FD2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B73FD2"/>
    <w:pPr>
      <w:spacing w:after="0" w:line="240" w:lineRule="auto"/>
    </w:pPr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contextualSpacing/>
    </w:p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spacing w:after="160"/>
    </w:pPr>
    <w:rPr>
      <w:color w:val="5A5A5A" w:themeColor="text1" w:themeTint="A5"/>
      <w:spacing w:val="15"/>
    </w:rPr>
  </w:style>
  <w:style w:type="paragraph" w:styleId="ndicedeautoridades">
    <w:name w:val="table of authorities"/>
    <w:basedOn w:val="Normal"/>
    <w:next w:val="Normal"/>
    <w:uiPriority w:val="99"/>
    <w:semiHidden/>
    <w:unhideWhenUsed/>
    <w:qFormat/>
    <w:rsid w:val="00B73FD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qFormat/>
    <w:rsid w:val="00B73FD2"/>
    <w:pPr>
      <w:spacing w:after="0"/>
    </w:pPr>
  </w:style>
  <w:style w:type="paragraph" w:styleId="Ttulodendicedeautoridades">
    <w:name w:val="toa heading"/>
    <w:basedOn w:val="Normal"/>
    <w:next w:val="Normal"/>
    <w:uiPriority w:val="99"/>
    <w:semiHidden/>
    <w:unhideWhenUsed/>
    <w:qFormat/>
    <w:rsid w:val="00B73FD2"/>
    <w:pPr>
      <w:spacing w:before="120"/>
    </w:pPr>
    <w:rPr>
      <w:rFonts w:eastAsiaTheme="majorEastAsia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</w:pPr>
    <w:rPr>
      <w:b w:val="0"/>
      <w:bCs w:val="0"/>
      <w:color w:val="381212" w:themeColor="accent1" w:themeShade="BF"/>
      <w:sz w:val="32"/>
      <w:szCs w:val="32"/>
    </w:rPr>
  </w:style>
  <w:style w:type="numbering" w:styleId="111111">
    <w:name w:val="Outline List 2"/>
    <w:uiPriority w:val="99"/>
    <w:semiHidden/>
    <w:unhideWhenUsed/>
    <w:qFormat/>
    <w:rsid w:val="00B73FD2"/>
  </w:style>
  <w:style w:type="numbering" w:styleId="1ai">
    <w:name w:val="Outline List 1"/>
    <w:uiPriority w:val="99"/>
    <w:semiHidden/>
    <w:unhideWhenUsed/>
    <w:qFormat/>
    <w:rsid w:val="00B73FD2"/>
  </w:style>
  <w:style w:type="numbering" w:styleId="Artigoseo">
    <w:name w:val="Outline List 3"/>
    <w:uiPriority w:val="99"/>
    <w:semiHidden/>
    <w:unhideWhenUsed/>
    <w:qFormat/>
    <w:rsid w:val="00B73FD2"/>
  </w:style>
  <w:style w:type="table" w:styleId="Tabelacomgrade">
    <w:name w:val="Table Grid"/>
    <w:basedOn w:val="Tabelanormal"/>
    <w:uiPriority w:val="59"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olorida">
    <w:name w:val="Colorful Grid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919" w:themeColor="accent1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966" w:themeColor="accent2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CDC1" w:themeColor="accent3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838" w:themeColor="accent4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accent5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accent6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customStyle="1" w:styleId="TabeladeGrade1Clara1">
    <w:name w:val="Tabela de Grade 1 Clara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1919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DC1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383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4B1919" w:themeColor="accent1"/>
        </w:tcBorders>
      </w:tcPr>
    </w:tblStylePr>
    <w:tblStylePr w:type="nwCell">
      <w:tblPr/>
      <w:tcPr>
        <w:tcBorders>
          <w:bottom w:val="single" w:sz="4" w:space="0" w:color="4B1919" w:themeColor="accent1"/>
        </w:tcBorders>
      </w:tcPr>
    </w:tblStylePr>
    <w:tblStylePr w:type="seCell">
      <w:tblPr/>
      <w:tcPr>
        <w:tcBorders>
          <w:top w:val="single" w:sz="4" w:space="0" w:color="4B1919" w:themeColor="accent1"/>
        </w:tcBorders>
      </w:tcPr>
    </w:tblStylePr>
    <w:tblStylePr w:type="swCell">
      <w:tblPr/>
      <w:tcPr>
        <w:tcBorders>
          <w:top w:val="single" w:sz="4" w:space="0" w:color="4B1919" w:themeColor="accent1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D966" w:themeColor="accent2"/>
        </w:tcBorders>
      </w:tcPr>
    </w:tblStylePr>
    <w:tblStylePr w:type="nwCell">
      <w:tblPr/>
      <w:tcPr>
        <w:tcBorders>
          <w:bottom w:val="single" w:sz="4" w:space="0" w:color="FFD966" w:themeColor="accent2"/>
        </w:tcBorders>
      </w:tcPr>
    </w:tblStylePr>
    <w:tblStylePr w:type="seCell">
      <w:tblPr/>
      <w:tcPr>
        <w:tcBorders>
          <w:top w:val="single" w:sz="4" w:space="0" w:color="FFD966" w:themeColor="accent2"/>
        </w:tcBorders>
      </w:tcPr>
    </w:tblStylePr>
    <w:tblStylePr w:type="swCell">
      <w:tblPr/>
      <w:tcPr>
        <w:tcBorders>
          <w:top w:val="single" w:sz="4" w:space="0" w:color="FFD966" w:themeColor="accent2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85CDC1" w:themeColor="accent3"/>
        </w:tcBorders>
      </w:tcPr>
    </w:tblStylePr>
    <w:tblStylePr w:type="nwCell">
      <w:tblPr/>
      <w:tcPr>
        <w:tcBorders>
          <w:bottom w:val="single" w:sz="4" w:space="0" w:color="85CDC1" w:themeColor="accent3"/>
        </w:tcBorders>
      </w:tcPr>
    </w:tblStylePr>
    <w:tblStylePr w:type="seCell">
      <w:tblPr/>
      <w:tcPr>
        <w:tcBorders>
          <w:top w:val="single" w:sz="4" w:space="0" w:color="85CDC1" w:themeColor="accent3"/>
        </w:tcBorders>
      </w:tcPr>
    </w:tblStylePr>
    <w:tblStylePr w:type="swCell">
      <w:tblPr/>
      <w:tcPr>
        <w:tcBorders>
          <w:top w:val="single" w:sz="4" w:space="0" w:color="85CDC1" w:themeColor="accent3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3B3838" w:themeColor="accent4"/>
        </w:tcBorders>
      </w:tcPr>
    </w:tblStylePr>
    <w:tblStylePr w:type="nwCell">
      <w:tblPr/>
      <w:tcPr>
        <w:tcBorders>
          <w:bottom w:val="single" w:sz="4" w:space="0" w:color="3B3838" w:themeColor="accent4"/>
        </w:tcBorders>
      </w:tcPr>
    </w:tblStylePr>
    <w:tblStylePr w:type="seCell">
      <w:tblPr/>
      <w:tcPr>
        <w:tcBorders>
          <w:top w:val="single" w:sz="4" w:space="0" w:color="3B3838" w:themeColor="accent4"/>
        </w:tcBorders>
      </w:tcPr>
    </w:tblStylePr>
    <w:tblStylePr w:type="swCell">
      <w:tblPr/>
      <w:tcPr>
        <w:tcBorders>
          <w:top w:val="single" w:sz="4" w:space="0" w:color="3B3838" w:themeColor="accent4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/>
        </w:tcBorders>
      </w:tcPr>
    </w:tblStylePr>
    <w:tblStylePr w:type="nwCell">
      <w:tblPr/>
      <w:tcPr>
        <w:tcBorders>
          <w:bottom w:val="single" w:sz="4" w:space="0" w:color="FFFFFF" w:themeColor="accent5"/>
        </w:tcBorders>
      </w:tcPr>
    </w:tblStylePr>
    <w:tblStylePr w:type="seCell">
      <w:tblPr/>
      <w:tcPr>
        <w:tcBorders>
          <w:top w:val="single" w:sz="4" w:space="0" w:color="FFFFFF" w:themeColor="accent5"/>
        </w:tcBorders>
      </w:tcPr>
    </w:tblStylePr>
    <w:tblStylePr w:type="swCell">
      <w:tblPr/>
      <w:tcPr>
        <w:tcBorders>
          <w:top w:val="single" w:sz="4" w:space="0" w:color="FFFFFF" w:themeColor="accent5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/>
        </w:tcBorders>
      </w:tcPr>
    </w:tblStylePr>
    <w:tblStylePr w:type="nwCell">
      <w:tblPr/>
      <w:tcPr>
        <w:tcBorders>
          <w:bottom w:val="single" w:sz="4" w:space="0" w:color="FFFFFF" w:themeColor="accent6"/>
        </w:tcBorders>
      </w:tcPr>
    </w:tblStylePr>
    <w:tblStylePr w:type="seCell">
      <w:tblPr/>
      <w:tcPr>
        <w:tcBorders>
          <w:top w:val="single" w:sz="4" w:space="0" w:color="FFFFFF" w:themeColor="accent6"/>
        </w:tcBorders>
      </w:tcPr>
    </w:tblStylePr>
    <w:tblStylePr w:type="swCell">
      <w:tblPr/>
      <w:tcPr>
        <w:tcBorders>
          <w:top w:val="single" w:sz="4" w:space="0" w:color="FFFFFF" w:themeColor="accent6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B73F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B73FD2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B73FD2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B73FD2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B73FD2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B73FD2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B73FD2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B73F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B73FD2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4B1919" w:themeColor="accent1"/>
        </w:tcBorders>
      </w:tcPr>
    </w:tblStylePr>
    <w:tblStylePr w:type="nwCell">
      <w:tblPr/>
      <w:tcPr>
        <w:tcBorders>
          <w:bottom w:val="single" w:sz="4" w:space="0" w:color="4B1919" w:themeColor="accent1"/>
        </w:tcBorders>
      </w:tcPr>
    </w:tblStylePr>
    <w:tblStylePr w:type="seCell">
      <w:tblPr/>
      <w:tcPr>
        <w:tcBorders>
          <w:top w:val="single" w:sz="4" w:space="0" w:color="4B1919" w:themeColor="accent1"/>
        </w:tcBorders>
      </w:tcPr>
    </w:tblStylePr>
    <w:tblStylePr w:type="swCell">
      <w:tblPr/>
      <w:tcPr>
        <w:tcBorders>
          <w:top w:val="single" w:sz="4" w:space="0" w:color="4B1919" w:themeColor="accent1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B73FD2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D966" w:themeColor="accent2"/>
        </w:tcBorders>
      </w:tcPr>
    </w:tblStylePr>
    <w:tblStylePr w:type="nwCell">
      <w:tblPr/>
      <w:tcPr>
        <w:tcBorders>
          <w:bottom w:val="single" w:sz="4" w:space="0" w:color="FFD966" w:themeColor="accent2"/>
        </w:tcBorders>
      </w:tcPr>
    </w:tblStylePr>
    <w:tblStylePr w:type="seCell">
      <w:tblPr/>
      <w:tcPr>
        <w:tcBorders>
          <w:top w:val="single" w:sz="4" w:space="0" w:color="FFD966" w:themeColor="accent2"/>
        </w:tcBorders>
      </w:tcPr>
    </w:tblStylePr>
    <w:tblStylePr w:type="swCell">
      <w:tblPr/>
      <w:tcPr>
        <w:tcBorders>
          <w:top w:val="single" w:sz="4" w:space="0" w:color="FFD966" w:themeColor="accent2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B73FD2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85CDC1" w:themeColor="accent3"/>
        </w:tcBorders>
      </w:tcPr>
    </w:tblStylePr>
    <w:tblStylePr w:type="nwCell">
      <w:tblPr/>
      <w:tcPr>
        <w:tcBorders>
          <w:bottom w:val="single" w:sz="4" w:space="0" w:color="85CDC1" w:themeColor="accent3"/>
        </w:tcBorders>
      </w:tcPr>
    </w:tblStylePr>
    <w:tblStylePr w:type="seCell">
      <w:tblPr/>
      <w:tcPr>
        <w:tcBorders>
          <w:top w:val="single" w:sz="4" w:space="0" w:color="85CDC1" w:themeColor="accent3"/>
        </w:tcBorders>
      </w:tcPr>
    </w:tblStylePr>
    <w:tblStylePr w:type="swCell">
      <w:tblPr/>
      <w:tcPr>
        <w:tcBorders>
          <w:top w:val="single" w:sz="4" w:space="0" w:color="85CDC1" w:themeColor="accent3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B73FD2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3B3838" w:themeColor="accent4"/>
        </w:tcBorders>
      </w:tcPr>
    </w:tblStylePr>
    <w:tblStylePr w:type="nwCell">
      <w:tblPr/>
      <w:tcPr>
        <w:tcBorders>
          <w:bottom w:val="single" w:sz="4" w:space="0" w:color="3B3838" w:themeColor="accent4"/>
        </w:tcBorders>
      </w:tcPr>
    </w:tblStylePr>
    <w:tblStylePr w:type="seCell">
      <w:tblPr/>
      <w:tcPr>
        <w:tcBorders>
          <w:top w:val="single" w:sz="4" w:space="0" w:color="3B3838" w:themeColor="accent4"/>
        </w:tcBorders>
      </w:tcPr>
    </w:tblStylePr>
    <w:tblStylePr w:type="swCell">
      <w:tblPr/>
      <w:tcPr>
        <w:tcBorders>
          <w:top w:val="single" w:sz="4" w:space="0" w:color="3B3838" w:themeColor="accent4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B73FD2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/>
        </w:tcBorders>
      </w:tcPr>
    </w:tblStylePr>
    <w:tblStylePr w:type="nwCell">
      <w:tblPr/>
      <w:tcPr>
        <w:tcBorders>
          <w:bottom w:val="single" w:sz="4" w:space="0" w:color="FFFFFF" w:themeColor="accent5"/>
        </w:tcBorders>
      </w:tcPr>
    </w:tblStylePr>
    <w:tblStylePr w:type="seCell">
      <w:tblPr/>
      <w:tcPr>
        <w:tcBorders>
          <w:top w:val="single" w:sz="4" w:space="0" w:color="FFFFFF" w:themeColor="accent5"/>
        </w:tcBorders>
      </w:tcPr>
    </w:tblStylePr>
    <w:tblStylePr w:type="swCell">
      <w:tblPr/>
      <w:tcPr>
        <w:tcBorders>
          <w:top w:val="single" w:sz="4" w:space="0" w:color="FFFFFF" w:themeColor="accent5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B73FD2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/>
        </w:tcBorders>
      </w:tcPr>
    </w:tblStylePr>
    <w:tblStylePr w:type="nwCell">
      <w:tblPr/>
      <w:tcPr>
        <w:tcBorders>
          <w:bottom w:val="single" w:sz="4" w:space="0" w:color="FFFFFF" w:themeColor="accent6"/>
        </w:tcBorders>
      </w:tcPr>
    </w:tblStylePr>
    <w:tblStylePr w:type="seCell">
      <w:tblPr/>
      <w:tcPr>
        <w:tcBorders>
          <w:top w:val="single" w:sz="4" w:space="0" w:color="FFFFFF" w:themeColor="accent6"/>
        </w:tcBorders>
      </w:tcPr>
    </w:tblStylePr>
    <w:tblStylePr w:type="swCell">
      <w:tblPr/>
      <w:tcPr>
        <w:tcBorders>
          <w:top w:val="single" w:sz="4" w:space="0" w:color="FFFFFF" w:themeColor="accent6"/>
        </w:tcBorders>
      </w:tcPr>
    </w:tblStylePr>
  </w:style>
  <w:style w:type="table" w:styleId="GradeClara">
    <w:name w:val="Light Grid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customStyle="1" w:styleId="TabeladeLista1Clara1">
    <w:name w:val="Tabela de Lista 1 Clara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B73F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B73FD2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B73FD2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B73FD2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B73FD2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B73FD2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B73FD2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B73F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B73FD2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B73FD2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B73FD2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B73FD2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B73FD2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B73FD2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elaSimples11">
    <w:name w:val="Tabela Simples 11"/>
    <w:basedOn w:val="Tabelanormal"/>
    <w:uiPriority w:val="4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B73F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42"/>
    <w:rsid w:val="00B73F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B73F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B73F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B73FD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lazer@gmail.com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B628B77-BF16-473E-A376-8BF94FED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 o nome da sua mae silva filho</dc:creator>
  <dc:description/>
  <cp:lastModifiedBy>qual o nome da sua mae silva filho</cp:lastModifiedBy>
  <cp:revision>8</cp:revision>
  <dcterms:created xsi:type="dcterms:W3CDTF">2020-06-27T05:27:00Z</dcterms:created>
  <dcterms:modified xsi:type="dcterms:W3CDTF">2020-06-27T05:33:00Z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0x01010079F111ED35F8CC479449609E8A0923A6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